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hAnsi="仿宋_GB2312" w:cs="仿宋_GB2312"/>
          <w:sz w:val="44"/>
          <w:szCs w:val="44"/>
        </w:rPr>
      </w:pPr>
    </w:p>
    <w:p>
      <w:pPr>
        <w:pStyle w:val="2"/>
        <w:ind w:firstLine="883"/>
        <w:jc w:val="center"/>
        <w:rPr>
          <w:rFonts w:ascii="仿宋_GB2312" w:hAnsi="仿宋_GB2312" w:cs="仿宋_GB2312"/>
          <w:sz w:val="44"/>
          <w:szCs w:val="44"/>
        </w:rPr>
      </w:pPr>
    </w:p>
    <w:p>
      <w:pPr>
        <w:ind w:firstLine="0" w:firstLineChars="0"/>
        <w:jc w:val="center"/>
        <w:rPr>
          <w:rFonts w:ascii="方正小标宋_GBK" w:hAnsi="方正小标宋_GBK" w:eastAsia="方正小标宋_GBK" w:cs="方正小标宋_GBK"/>
          <w:color w:val="FF0000"/>
          <w:sz w:val="80"/>
          <w:szCs w:val="80"/>
        </w:rPr>
      </w:pPr>
      <w:r>
        <w:rPr>
          <w:rFonts w:hint="eastAsia" w:ascii="方正小标宋_GBK" w:hAnsi="方正小标宋_GBK" w:eastAsia="方正小标宋_GBK" w:cs="方正小标宋_GBK"/>
          <w:b w:val="0"/>
          <w:bCs w:val="0"/>
          <w:color w:val="FF0000"/>
          <w:sz w:val="80"/>
          <w:szCs w:val="80"/>
        </w:rPr>
        <w:t>中国灾害防御协会文件</w:t>
      </w:r>
    </w:p>
    <w:p>
      <w:pPr>
        <w:ind w:firstLine="562"/>
        <w:jc w:val="center"/>
      </w:pPr>
    </w:p>
    <w:p>
      <w:pPr>
        <w:ind w:firstLine="562"/>
        <w:jc w:val="center"/>
      </w:pPr>
    </w:p>
    <w:p>
      <w:pPr>
        <w:ind w:firstLine="643"/>
        <w:jc w:val="center"/>
      </w:pPr>
      <w:r>
        <w:rPr>
          <w:rFonts w:hint="eastAsia" w:eastAsia="仿宋" w:cs="仿宋"/>
          <w:sz w:val="32"/>
          <w:szCs w:val="32"/>
        </w:rPr>
        <w:t>中灾协〔2023〕5号</w:t>
      </w:r>
      <w:r>
        <w:drawing>
          <wp:inline distT="0" distB="0" distL="114300" distR="114300">
            <wp:extent cx="5328285" cy="73025"/>
            <wp:effectExtent l="0" t="0" r="571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328285" cy="73025"/>
                    </a:xfrm>
                    <a:prstGeom prst="rect">
                      <a:avLst/>
                    </a:prstGeom>
                    <a:noFill/>
                    <a:ln>
                      <a:noFill/>
                    </a:ln>
                  </pic:spPr>
                </pic:pic>
              </a:graphicData>
            </a:graphic>
          </wp:inline>
        </w:drawing>
      </w:r>
    </w:p>
    <w:p>
      <w:pPr>
        <w:pStyle w:val="2"/>
        <w:ind w:firstLine="361"/>
        <w:jc w:val="center"/>
      </w:pPr>
    </w:p>
    <w:p>
      <w:pPr>
        <w:ind w:firstLine="0" w:firstLineChars="0"/>
        <w:rPr>
          <w:rFonts w:asciiTheme="majorEastAsia" w:hAnsiTheme="majorEastAsia" w:eastAsiaTheme="majorEastAsia" w:cstheme="majorEastAsia"/>
          <w:spacing w:val="-23"/>
          <w:sz w:val="44"/>
          <w:szCs w:val="44"/>
        </w:rPr>
      </w:pPr>
    </w:p>
    <w:p>
      <w:pPr>
        <w:ind w:firstLine="394" w:firstLineChars="100"/>
        <w:jc w:val="center"/>
        <w:rPr>
          <w:rFonts w:ascii="方正小标宋_GBK" w:hAnsi="方正小标宋_GBK" w:eastAsia="方正小标宋_GBK" w:cs="方正小标宋_GBK"/>
          <w:b w:val="0"/>
          <w:bCs w:val="0"/>
          <w:spacing w:val="-23"/>
          <w:sz w:val="44"/>
          <w:szCs w:val="44"/>
        </w:rPr>
      </w:pPr>
      <w:bookmarkStart w:id="0" w:name="_GoBack"/>
      <w:r>
        <w:rPr>
          <w:rFonts w:hint="eastAsia" w:ascii="方正小标宋_GBK" w:hAnsi="方正小标宋_GBK" w:eastAsia="方正小标宋_GBK" w:cs="方正小标宋_GBK"/>
          <w:b w:val="0"/>
          <w:bCs w:val="0"/>
          <w:spacing w:val="-23"/>
          <w:sz w:val="44"/>
          <w:szCs w:val="44"/>
        </w:rPr>
        <w:t>关于举办“ 2023博鳌防灾减灾大会—城乡韧性与工程防灾 ”分论坛的通知</w:t>
      </w:r>
    </w:p>
    <w:bookmarkEnd w:id="0"/>
    <w:p>
      <w:pPr>
        <w:ind w:firstLine="723"/>
        <w:jc w:val="left"/>
        <w:rPr>
          <w:rFonts w:ascii="宋体" w:hAnsi="宋体" w:eastAsia="宋体" w:cs="Times New Roman"/>
          <w:sz w:val="36"/>
          <w:szCs w:val="40"/>
        </w:rPr>
      </w:pPr>
    </w:p>
    <w:p>
      <w:pPr>
        <w:ind w:firstLine="0" w:firstLineChars="0"/>
        <w:rPr>
          <w:rFonts w:ascii="仿宋_GB2312" w:hAnsi="仿宋_GB2312" w:cs="仿宋_GB2312"/>
          <w:b w:val="0"/>
          <w:bCs w:val="0"/>
          <w:sz w:val="32"/>
          <w:szCs w:val="32"/>
        </w:rPr>
      </w:pPr>
      <w:r>
        <w:rPr>
          <w:rFonts w:hint="eastAsia" w:ascii="仿宋_GB2312" w:hAnsi="仿宋_GB2312" w:cs="仿宋_GB2312"/>
          <w:b w:val="0"/>
          <w:bCs w:val="0"/>
          <w:sz w:val="32"/>
          <w:szCs w:val="32"/>
        </w:rPr>
        <w:t>各有关单位和人员：</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我国城市面临严重的地震灾害威胁，52%的县城、57%的地级市、67%的百万以上人口大中城市、25个省会城市位于7度及以上的地震高烈度区。城市中大量的房屋建筑和生命线系统是维系人类生产活动和经济运行的重要载体和保障，地震危险程度的不断提高和城市机体的日益劣化导致城市地震灾害风险加剧，一旦发生地震破坏将面临严重的人员伤亡和经济损失，这是城市地震工程的焦点问题。</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同时，城市大规模的建设阶段已经过去，党中央国务院适时做出了城市更新的重大决定，即对存量建筑和基础设施进行有机更新，这是“惠民生、促发展”的重大决策。在城市更新中，对抗震能力不足或存在损伤的既有工程系统采用高效、绿色的手段进行抗震加固或修复，从而提升单体工程的抗震性能，达到降低地震灾害风险的目的，也是城市更新的重要主题。</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然而，目前加固和修复手段取决于取材的便利性、施工的难易程度、经济性等因素，各个地区、各类工程结构差异性很大，而效果也有很大的不同。为此国家自然灾害防治九项重点工程之“地震易发区房屋设施加固工程”技术专家组发布了《房屋设施加固技术指南》，提供了多种加固手段，并提供了该手段的施工工艺要求以保证取得较好的加固效果，该指南自发布以来获得了多方好评。</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为了进一步研究不同时期工程设施所面临的地震风险，判明其剩余抗力，进而提出更加先进的加固和修复理念，为业主提供更为可靠有效经济的加固和修复手段，拟组织召开“城乡韧性与工程防灾”分论坛，将邀请科研、规划、设计、施工、运维等各方人员，研讨城市更新中既有建筑所面临的地震风险和加固、修复方法，为提升既有工程的抗震韧性提供依据和准则。</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本次会议是在中国灾害防御协会主办的“博鳌防灾减灾大会”框架下，由中国灾害防御协会城乡韧性与防灾减灾专业委员会承办的一次专题会议，会议的指导思想是：深入贯彻“人民至上、生命至上”安全理念，促进城市发展建设与工程安全能力的提升，保障人民群众生命财产安全。</w:t>
      </w:r>
    </w:p>
    <w:p>
      <w:pPr>
        <w:ind w:firstLine="643"/>
        <w:rPr>
          <w:rFonts w:ascii="黑体" w:hAnsi="黑体" w:eastAsia="黑体" w:cs="黑体"/>
          <w:sz w:val="32"/>
          <w:szCs w:val="32"/>
        </w:rPr>
      </w:pPr>
      <w:r>
        <w:rPr>
          <w:rFonts w:hint="eastAsia" w:ascii="黑体" w:hAnsi="黑体" w:eastAsia="黑体" w:cs="黑体"/>
          <w:sz w:val="32"/>
          <w:szCs w:val="32"/>
        </w:rPr>
        <w:t>一、会议主题</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工程系统震害调查</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地震损伤评估理论、方法和技术</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建筑结构抗震加固与震损修复方法与技术</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生命线工程系统抗震加固与震损修复方法与技术</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抗震加固与震损修复的施工组织与经济效益分析</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减、隔震技术在加固与震损结构中的应用</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城市地震灾害风险评估与城市更新</w:t>
      </w:r>
    </w:p>
    <w:p>
      <w:pPr>
        <w:ind w:firstLine="640"/>
      </w:pPr>
      <w:r>
        <w:rPr>
          <w:rFonts w:hint="eastAsia" w:ascii="仿宋_GB2312" w:hAnsi="仿宋_GB2312" w:cs="仿宋_GB2312"/>
          <w:b w:val="0"/>
          <w:bCs w:val="0"/>
          <w:sz w:val="32"/>
          <w:szCs w:val="32"/>
        </w:rPr>
        <w:t>抗震加固与震损修复的智能建造与绿色运维</w:t>
      </w:r>
    </w:p>
    <w:p>
      <w:pPr>
        <w:ind w:firstLine="643"/>
        <w:rPr>
          <w:rFonts w:ascii="黑体" w:hAnsi="黑体" w:eastAsia="黑体" w:cs="黑体"/>
          <w:sz w:val="32"/>
          <w:szCs w:val="32"/>
        </w:rPr>
      </w:pPr>
      <w:r>
        <w:rPr>
          <w:rFonts w:hint="eastAsia" w:ascii="黑体" w:hAnsi="黑体" w:eastAsia="黑体" w:cs="黑体"/>
          <w:sz w:val="32"/>
          <w:szCs w:val="32"/>
        </w:rPr>
        <w:t>二、会议安排</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1、会议目标</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针对建筑和生命线工程系统的典型加固或修复方法的经济指标、时间指标、加固效果指标和模型开展研究讨论。</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2、研究成果</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编著《工程系统抗震韧性提升技术与应用》。</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3、参会日期</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时间：2023年2月12至15日</w:t>
      </w:r>
    </w:p>
    <w:p>
      <w:pPr>
        <w:pStyle w:val="2"/>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地址：海南博鳌亚洲论坛国际会议中心</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4、会议形式</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线下、线上相结合、主题报告、邀请报告、总结研讨。</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5、主要议程：</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2月12日全天  报到</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2月13日上午 大会开幕式和主题报告</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2月13日下午 分论坛报告</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2月13日晚上 晚餐、专委会会议</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2月14日上午 分论坛报告</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2月14日下午 分论坛报告、问卷调查和研讨</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2月15日     会议结束</w:t>
      </w:r>
    </w:p>
    <w:p>
      <w:pPr>
        <w:pStyle w:val="7"/>
        <w:ind w:firstLine="643"/>
        <w:rPr>
          <w:rFonts w:ascii="黑体" w:hAnsi="黑体" w:eastAsia="黑体" w:cs="黑体"/>
          <w:sz w:val="32"/>
          <w:szCs w:val="32"/>
        </w:rPr>
      </w:pPr>
      <w:r>
        <w:rPr>
          <w:rFonts w:hint="eastAsia" w:ascii="黑体" w:hAnsi="黑体" w:eastAsia="黑体" w:cs="黑体"/>
          <w:sz w:val="32"/>
          <w:szCs w:val="32"/>
        </w:rPr>
        <w:t>三、报名通道及账户信息</w:t>
      </w:r>
    </w:p>
    <w:p>
      <w:pPr>
        <w:pStyle w:val="7"/>
        <w:ind w:firstLine="640"/>
        <w:rPr>
          <w:rFonts w:eastAsia="仿宋" w:cs="仿宋"/>
          <w:b w:val="0"/>
          <w:bCs w:val="0"/>
          <w:sz w:val="32"/>
          <w:szCs w:val="32"/>
        </w:rPr>
      </w:pPr>
      <w:r>
        <w:rPr>
          <w:rFonts w:hint="eastAsia" w:eastAsia="仿宋" w:cs="仿宋"/>
          <w:b w:val="0"/>
          <w:bCs w:val="0"/>
          <w:sz w:val="32"/>
          <w:szCs w:val="32"/>
        </w:rPr>
        <w:t>1、会议报名：扫描下方二维码填写报名信息。</w:t>
      </w:r>
    </w:p>
    <w:p>
      <w:pPr>
        <w:pStyle w:val="2"/>
        <w:ind w:firstLine="361"/>
      </w:pPr>
      <w:r>
        <w:drawing>
          <wp:inline distT="0" distB="0" distL="114300" distR="114300">
            <wp:extent cx="4876800" cy="1214755"/>
            <wp:effectExtent l="0" t="0" r="0" b="4445"/>
            <wp:docPr id="4" name="图片 4" descr="城乡韧性报名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城乡韧性报名通道"/>
                    <pic:cNvPicPr>
                      <a:picLocks noChangeAspect="1"/>
                    </pic:cNvPicPr>
                  </pic:nvPicPr>
                  <pic:blipFill>
                    <a:blip r:embed="rId13"/>
                    <a:srcRect l="-119333" t="7093" r="-119333" b="8549"/>
                    <a:stretch>
                      <a:fillRect/>
                    </a:stretch>
                  </pic:blipFill>
                  <pic:spPr>
                    <a:xfrm>
                      <a:off x="0" y="0"/>
                      <a:ext cx="4876800" cy="1214755"/>
                    </a:xfrm>
                    <a:prstGeom prst="rect">
                      <a:avLst/>
                    </a:prstGeom>
                  </pic:spPr>
                </pic:pic>
              </a:graphicData>
            </a:graphic>
          </wp:inline>
        </w:drawing>
      </w:r>
    </w:p>
    <w:p>
      <w:pPr>
        <w:pStyle w:val="7"/>
        <w:ind w:firstLine="640"/>
        <w:rPr>
          <w:rFonts w:eastAsia="仿宋" w:cs="仿宋"/>
          <w:b w:val="0"/>
          <w:bCs w:val="0"/>
          <w:sz w:val="32"/>
          <w:szCs w:val="32"/>
        </w:rPr>
      </w:pPr>
      <w:r>
        <w:rPr>
          <w:rFonts w:hint="eastAsia" w:eastAsia="仿宋" w:cs="仿宋"/>
          <w:b w:val="0"/>
          <w:bCs w:val="0"/>
          <w:sz w:val="32"/>
          <w:szCs w:val="32"/>
        </w:rPr>
        <w:t>2、注册费及账户信息：</w:t>
      </w:r>
    </w:p>
    <w:p>
      <w:pPr>
        <w:pStyle w:val="7"/>
        <w:ind w:firstLine="640"/>
        <w:rPr>
          <w:rFonts w:eastAsia="仿宋" w:cs="仿宋"/>
          <w:b w:val="0"/>
          <w:bCs w:val="0"/>
          <w:sz w:val="32"/>
          <w:szCs w:val="32"/>
        </w:rPr>
      </w:pPr>
      <w:r>
        <w:rPr>
          <w:rFonts w:hint="eastAsia" w:eastAsia="仿宋" w:cs="仿宋"/>
          <w:b w:val="0"/>
          <w:bCs w:val="0"/>
          <w:sz w:val="32"/>
          <w:szCs w:val="32"/>
        </w:rPr>
        <w:t>注册费：1200元/人（学生800元/人）</w:t>
      </w:r>
    </w:p>
    <w:p>
      <w:pPr>
        <w:pStyle w:val="7"/>
        <w:ind w:firstLine="640"/>
        <w:rPr>
          <w:rFonts w:eastAsia="仿宋" w:cs="仿宋"/>
          <w:b w:val="0"/>
          <w:bCs w:val="0"/>
          <w:sz w:val="32"/>
          <w:szCs w:val="32"/>
        </w:rPr>
      </w:pPr>
      <w:r>
        <w:rPr>
          <w:rFonts w:hint="eastAsia" w:eastAsia="仿宋" w:cs="仿宋"/>
          <w:b w:val="0"/>
          <w:bCs w:val="0"/>
          <w:sz w:val="32"/>
          <w:szCs w:val="32"/>
        </w:rPr>
        <w:t>(转账备注：分论坛名称+单位名称+参会人)。</w:t>
      </w:r>
    </w:p>
    <w:p>
      <w:pPr>
        <w:pStyle w:val="7"/>
        <w:ind w:firstLine="640"/>
        <w:rPr>
          <w:rFonts w:eastAsia="仿宋" w:cs="仿宋"/>
          <w:b w:val="0"/>
          <w:bCs w:val="0"/>
          <w:sz w:val="32"/>
          <w:szCs w:val="32"/>
        </w:rPr>
      </w:pPr>
      <w:r>
        <w:rPr>
          <w:rFonts w:hint="eastAsia" w:eastAsia="仿宋" w:cs="仿宋"/>
          <w:b w:val="0"/>
          <w:bCs w:val="0"/>
          <w:sz w:val="32"/>
          <w:szCs w:val="32"/>
        </w:rPr>
        <w:t>单位名称：中国灾害防御协会</w:t>
      </w:r>
    </w:p>
    <w:p>
      <w:pPr>
        <w:pStyle w:val="7"/>
        <w:ind w:firstLine="640"/>
        <w:rPr>
          <w:rFonts w:eastAsia="仿宋" w:cs="仿宋"/>
          <w:b w:val="0"/>
          <w:bCs w:val="0"/>
          <w:sz w:val="32"/>
          <w:szCs w:val="32"/>
        </w:rPr>
      </w:pPr>
      <w:r>
        <w:rPr>
          <w:rFonts w:hint="eastAsia" w:eastAsia="仿宋" w:cs="仿宋"/>
          <w:b w:val="0"/>
          <w:bCs w:val="0"/>
          <w:sz w:val="32"/>
          <w:szCs w:val="32"/>
        </w:rPr>
        <w:t>开户行：  工行北京公主坟支行</w:t>
      </w:r>
    </w:p>
    <w:p>
      <w:pPr>
        <w:pStyle w:val="7"/>
        <w:ind w:firstLine="640"/>
        <w:rPr>
          <w:rFonts w:eastAsia="仿宋" w:cs="仿宋"/>
          <w:b w:val="0"/>
          <w:bCs w:val="0"/>
          <w:sz w:val="32"/>
          <w:szCs w:val="32"/>
        </w:rPr>
      </w:pPr>
      <w:r>
        <w:rPr>
          <w:rFonts w:hint="eastAsia" w:eastAsia="仿宋" w:cs="仿宋"/>
          <w:b w:val="0"/>
          <w:bCs w:val="0"/>
          <w:sz w:val="32"/>
          <w:szCs w:val="32"/>
        </w:rPr>
        <w:t>账  号：0200004609201003562</w:t>
      </w:r>
    </w:p>
    <w:p>
      <w:pPr>
        <w:pStyle w:val="7"/>
        <w:ind w:firstLine="640"/>
        <w:rPr>
          <w:rFonts w:eastAsia="仿宋" w:cs="仿宋"/>
          <w:b w:val="0"/>
          <w:bCs w:val="0"/>
          <w:sz w:val="32"/>
          <w:szCs w:val="32"/>
        </w:rPr>
      </w:pPr>
      <w:r>
        <w:rPr>
          <w:rFonts w:hint="eastAsia" w:eastAsia="仿宋" w:cs="仿宋"/>
          <w:b w:val="0"/>
          <w:bCs w:val="0"/>
          <w:sz w:val="32"/>
          <w:szCs w:val="32"/>
        </w:rPr>
        <w:drawing>
          <wp:anchor distT="0" distB="0" distL="114300" distR="114300" simplePos="0" relativeHeight="251659264" behindDoc="0" locked="0" layoutInCell="1" allowOverlap="1">
            <wp:simplePos x="0" y="0"/>
            <wp:positionH relativeFrom="column">
              <wp:posOffset>2153285</wp:posOffset>
            </wp:positionH>
            <wp:positionV relativeFrom="paragraph">
              <wp:posOffset>295910</wp:posOffset>
            </wp:positionV>
            <wp:extent cx="1200785" cy="1093470"/>
            <wp:effectExtent l="0" t="0" r="18415" b="11430"/>
            <wp:wrapSquare wrapText="bothSides"/>
            <wp:docPr id="1" name="图片 1" descr="972cd4e8eb1c082b07856bc6d016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72cd4e8eb1c082b07856bc6d01609f"/>
                    <pic:cNvPicPr>
                      <a:picLocks noChangeAspect="1"/>
                    </pic:cNvPicPr>
                  </pic:nvPicPr>
                  <pic:blipFill>
                    <a:blip r:embed="rId14"/>
                    <a:srcRect l="22905" t="36951" r="22414" b="28053"/>
                    <a:stretch>
                      <a:fillRect/>
                    </a:stretch>
                  </pic:blipFill>
                  <pic:spPr>
                    <a:xfrm>
                      <a:off x="0" y="0"/>
                      <a:ext cx="1200785" cy="1093470"/>
                    </a:xfrm>
                    <a:prstGeom prst="rect">
                      <a:avLst/>
                    </a:prstGeom>
                  </pic:spPr>
                </pic:pic>
              </a:graphicData>
            </a:graphic>
          </wp:anchor>
        </w:drawing>
      </w:r>
      <w:r>
        <w:rPr>
          <w:rFonts w:hint="eastAsia" w:eastAsia="仿宋" w:cs="仿宋"/>
          <w:b w:val="0"/>
          <w:bCs w:val="0"/>
          <w:sz w:val="32"/>
          <w:szCs w:val="32"/>
        </w:rPr>
        <w:t>支付宝二维码：</w:t>
      </w:r>
    </w:p>
    <w:p>
      <w:pPr>
        <w:ind w:firstLine="0" w:firstLineChars="0"/>
        <w:rPr>
          <w:rFonts w:ascii="仿宋_GB2312" w:hAnsi="仿宋_GB2312" w:cs="仿宋_GB2312"/>
          <w:b w:val="0"/>
          <w:bCs w:val="0"/>
          <w:sz w:val="32"/>
          <w:szCs w:val="32"/>
        </w:rPr>
      </w:pPr>
    </w:p>
    <w:p>
      <w:pPr>
        <w:pStyle w:val="2"/>
        <w:rPr>
          <w:rFonts w:hint="eastAsia" w:ascii="仿宋_GB2312" w:hAnsi="仿宋_GB2312" w:eastAsia="仿宋_GB2312" w:cs="仿宋_GB2312"/>
          <w:b w:val="0"/>
          <w:bCs w:val="0"/>
          <w:sz w:val="32"/>
          <w:szCs w:val="32"/>
          <w:lang w:eastAsia="zh-CN"/>
        </w:rPr>
      </w:pPr>
      <w:r>
        <w:rPr>
          <w:rFonts w:hint="eastAsia" w:ascii="仿宋_GB2312" w:hAnsi="仿宋_GB2312" w:cs="仿宋_GB2312"/>
          <w:b w:val="0"/>
          <w:bCs w:val="0"/>
          <w:sz w:val="32"/>
          <w:szCs w:val="32"/>
        </w:rPr>
        <w:t>特此通知</w:t>
      </w:r>
      <w:r>
        <w:rPr>
          <w:rFonts w:hint="eastAsia" w:ascii="仿宋_GB2312" w:hAnsi="仿宋_GB2312" w:cs="仿宋_GB2312"/>
          <w:b w:val="0"/>
          <w:bCs w:val="0"/>
          <w:sz w:val="32"/>
          <w:szCs w:val="32"/>
          <w:lang w:eastAsia="zh-CN"/>
        </w:rPr>
        <w:t>。</w:t>
      </w:r>
    </w:p>
    <w:p>
      <w:pPr>
        <w:pStyle w:val="2"/>
        <w:ind w:firstLine="640"/>
        <w:rPr>
          <w:rFonts w:ascii="仿宋_GB2312" w:hAnsi="仿宋_GB2312" w:cs="仿宋_GB2312"/>
          <w:b w:val="0"/>
          <w:bCs w:val="0"/>
          <w:sz w:val="32"/>
          <w:szCs w:val="32"/>
        </w:rPr>
      </w:pPr>
    </w:p>
    <w:p>
      <w:pPr>
        <w:pStyle w:val="2"/>
        <w:ind w:firstLine="361"/>
      </w:pP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联系人：</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王  涛  15075681608    籍一言  18600777962</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陈洪富  18045669058    王啸霆  15201348824</w:t>
      </w:r>
    </w:p>
    <w:p>
      <w:pPr>
        <w:ind w:firstLine="640"/>
        <w:rPr>
          <w:rFonts w:ascii="仿宋_GB2312" w:hAnsi="仿宋_GB2312" w:cs="仿宋_GB2312"/>
          <w:b w:val="0"/>
          <w:bCs w:val="0"/>
          <w:sz w:val="32"/>
          <w:szCs w:val="32"/>
        </w:rPr>
      </w:pPr>
      <w:r>
        <w:rPr>
          <w:rFonts w:hint="eastAsia" w:ascii="仿宋_GB2312" w:hAnsi="仿宋_GB2312" w:cs="仿宋_GB2312"/>
          <w:b w:val="0"/>
          <w:bCs w:val="0"/>
          <w:sz w:val="32"/>
          <w:szCs w:val="32"/>
        </w:rPr>
        <w:t>尚庆学  13522429234    张少婷  18601218925</w:t>
      </w:r>
    </w:p>
    <w:p>
      <w:pPr>
        <w:ind w:firstLine="0" w:firstLineChars="0"/>
        <w:rPr>
          <w:rFonts w:eastAsia="仿宋" w:cs="仿宋"/>
          <w:b w:val="0"/>
          <w:bCs w:val="0"/>
          <w:sz w:val="32"/>
          <w:szCs w:val="32"/>
        </w:rPr>
      </w:pPr>
    </w:p>
    <w:p>
      <w:pPr>
        <w:ind w:firstLine="0" w:firstLineChars="0"/>
        <w:rPr>
          <w:rFonts w:ascii="仿宋_GB2312" w:hAnsi="仿宋_GB2312" w:cs="仿宋_GB2312"/>
          <w:b w:val="0"/>
          <w:bCs w:val="0"/>
          <w:sz w:val="32"/>
          <w:szCs w:val="32"/>
        </w:rPr>
      </w:pPr>
    </w:p>
    <w:p>
      <w:pPr>
        <w:ind w:firstLine="0" w:firstLineChars="0"/>
        <w:jc w:val="left"/>
        <w:rPr>
          <w:rFonts w:ascii="仿宋_GB2312" w:hAnsi="仿宋_GB2312" w:cs="仿宋_GB2312"/>
          <w:b w:val="0"/>
          <w:bCs w:val="0"/>
          <w:sz w:val="32"/>
          <w:szCs w:val="32"/>
        </w:rPr>
      </w:pPr>
    </w:p>
    <w:p>
      <w:pPr>
        <w:ind w:firstLine="0" w:firstLineChars="0"/>
        <w:jc w:val="right"/>
        <w:rPr>
          <w:rFonts w:ascii="仿宋_GB2312" w:hAnsi="仿宋_GB2312" w:cs="仿宋_GB2312"/>
          <w:b w:val="0"/>
          <w:bCs w:val="0"/>
          <w:sz w:val="32"/>
          <w:szCs w:val="32"/>
        </w:rPr>
      </w:pPr>
      <w:r>
        <w:rPr>
          <w:rFonts w:hint="eastAsia" w:ascii="仿宋_GB2312" w:hAnsi="仿宋_GB2312" w:cs="仿宋_GB2312"/>
          <w:b w:val="0"/>
          <w:bCs w:val="0"/>
          <w:sz w:val="32"/>
          <w:szCs w:val="32"/>
        </w:rPr>
        <w:t>中国灾害防御协会</w:t>
      </w:r>
    </w:p>
    <w:tbl>
      <w:tblPr>
        <w:tblStyle w:val="5"/>
        <w:tblpPr w:leftFromText="180" w:rightFromText="180" w:vertAnchor="text" w:horzAnchor="page" w:tblpX="1854" w:tblpY="6635"/>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rPr>
                <w:rFonts w:ascii="仿宋_GB2312" w:hAnsi="仿宋_GB2312" w:cs="仿宋_GB2312"/>
                <w:b w:val="0"/>
                <w:bCs w:val="0"/>
                <w:sz w:val="32"/>
                <w:szCs w:val="32"/>
              </w:rPr>
            </w:pPr>
            <w:r>
              <w:rPr>
                <w:rFonts w:hint="eastAsia" w:ascii="仿宋_GB2312" w:hAnsi="仿宋_GB2312" w:cs="仿宋_GB2312"/>
                <w:b w:val="0"/>
                <w:bCs w:val="0"/>
                <w:sz w:val="32"/>
                <w:szCs w:val="32"/>
              </w:rPr>
              <w:t>中国灾害防御协会              2023年1月10日 印发</w:t>
            </w:r>
          </w:p>
        </w:tc>
      </w:tr>
    </w:tbl>
    <w:p>
      <w:pPr>
        <w:ind w:firstLine="640"/>
        <w:jc w:val="right"/>
        <w:rPr>
          <w:rFonts w:eastAsia="仿宋" w:cs="仿宋"/>
          <w:b w:val="0"/>
          <w:bCs w:val="0"/>
          <w:sz w:val="32"/>
          <w:szCs w:val="32"/>
        </w:rPr>
      </w:pPr>
      <w:r>
        <w:rPr>
          <w:rFonts w:ascii="仿宋_GB2312" w:hAnsi="仿宋_GB2312" w:cs="仿宋_GB2312"/>
          <w:b w:val="0"/>
          <w:bCs w:val="0"/>
          <w:sz w:val="32"/>
          <w:szCs w:val="32"/>
          <w:lang w:eastAsia="zh-Hans"/>
        </w:rPr>
        <w:t>202</w:t>
      </w:r>
      <w:r>
        <w:rPr>
          <w:rFonts w:hint="eastAsia" w:ascii="仿宋_GB2312" w:hAnsi="仿宋_GB2312" w:cs="仿宋_GB2312"/>
          <w:b w:val="0"/>
          <w:bCs w:val="0"/>
          <w:sz w:val="32"/>
          <w:szCs w:val="32"/>
        </w:rPr>
        <w:t>3</w:t>
      </w:r>
      <w:r>
        <w:rPr>
          <w:rFonts w:hint="eastAsia" w:ascii="仿宋_GB2312" w:hAnsi="仿宋_GB2312" w:cs="仿宋_GB2312"/>
          <w:b w:val="0"/>
          <w:bCs w:val="0"/>
          <w:sz w:val="32"/>
          <w:szCs w:val="32"/>
          <w:lang w:eastAsia="zh-Hans"/>
        </w:rPr>
        <w:t>年</w:t>
      </w:r>
      <w:r>
        <w:rPr>
          <w:rFonts w:hint="eastAsia" w:ascii="仿宋_GB2312" w:hAnsi="仿宋_GB2312" w:cs="仿宋_GB2312"/>
          <w:b w:val="0"/>
          <w:bCs w:val="0"/>
          <w:sz w:val="32"/>
          <w:szCs w:val="32"/>
        </w:rPr>
        <w:t>1</w:t>
      </w:r>
      <w:r>
        <w:rPr>
          <w:rFonts w:hint="eastAsia" w:ascii="仿宋_GB2312" w:hAnsi="仿宋_GB2312" w:cs="仿宋_GB2312"/>
          <w:b w:val="0"/>
          <w:bCs w:val="0"/>
          <w:sz w:val="32"/>
          <w:szCs w:val="32"/>
          <w:lang w:eastAsia="zh-Hans"/>
        </w:rPr>
        <w:t>月</w:t>
      </w:r>
      <w:r>
        <w:rPr>
          <w:rFonts w:hint="eastAsia" w:ascii="仿宋_GB2312" w:hAnsi="仿宋_GB2312" w:cs="仿宋_GB2312"/>
          <w:b w:val="0"/>
          <w:bCs w:val="0"/>
          <w:sz w:val="32"/>
          <w:szCs w:val="32"/>
        </w:rPr>
        <w:t>10</w:t>
      </w:r>
      <w:r>
        <w:rPr>
          <w:rFonts w:hint="eastAsia" w:ascii="仿宋_GB2312" w:hAnsi="仿宋_GB2312" w:cs="仿宋_GB2312"/>
          <w:b w:val="0"/>
          <w:bCs w:val="0"/>
          <w:sz w:val="32"/>
          <w:szCs w:val="32"/>
          <w:lang w:eastAsia="zh-Hans"/>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2"/>
      </w:pPr>
      <w:r>
        <w:separator/>
      </w:r>
    </w:p>
  </w:endnote>
  <w:endnote w:type="continuationSeparator" w:id="1">
    <w:p>
      <w:pPr>
        <w:spacing w:line="240" w:lineRule="auto"/>
        <w:ind w:firstLine="56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9B27BA-80EF-4430-B9DF-61078117F9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6CA60B95-D6A4-4D1A-94C6-595491C13ABD}"/>
  </w:font>
  <w:font w:name="仿宋_GB2312">
    <w:panose1 w:val="02010609030101010101"/>
    <w:charset w:val="86"/>
    <w:family w:val="modern"/>
    <w:pitch w:val="default"/>
    <w:sig w:usb0="00000001" w:usb1="080E0000" w:usb2="00000000" w:usb3="00000000" w:csb0="00040000" w:csb1="00000000"/>
    <w:embedRegular r:id="rId3" w:fontKey="{6A0E7CEA-6184-47CE-BA99-CB4AE7F1CDE8}"/>
  </w:font>
  <w:font w:name="方正小标宋_GBK">
    <w:panose1 w:val="03000509000000000000"/>
    <w:charset w:val="86"/>
    <w:family w:val="auto"/>
    <w:pitch w:val="default"/>
    <w:sig w:usb0="00000001" w:usb1="080E0000" w:usb2="00000000" w:usb3="00000000" w:csb0="00040000" w:csb1="00000000"/>
    <w:embedRegular r:id="rId4" w:fontKey="{B880F1C9-7969-4F86-9FDB-3A8A685BC0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2"/>
      </w:pPr>
      <w:r>
        <w:separator/>
      </w:r>
    </w:p>
  </w:footnote>
  <w:footnote w:type="continuationSeparator" w:id="1">
    <w:p>
      <w:pPr>
        <w:spacing w:line="360" w:lineRule="auto"/>
        <w:ind w:firstLine="56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zEzZTI4ODBmNjk0NjAwOTJjNWU0NzU3ZDI2ZjQifQ=="/>
  </w:docVars>
  <w:rsids>
    <w:rsidRoot w:val="6C1A0BAA"/>
    <w:rsid w:val="00755D85"/>
    <w:rsid w:val="00B44B10"/>
    <w:rsid w:val="00D06A5F"/>
    <w:rsid w:val="00FD11A6"/>
    <w:rsid w:val="03B572FF"/>
    <w:rsid w:val="067F4DE1"/>
    <w:rsid w:val="06E73AC2"/>
    <w:rsid w:val="07A1571D"/>
    <w:rsid w:val="0D1B3FD5"/>
    <w:rsid w:val="0ED67B08"/>
    <w:rsid w:val="0FAE1B3D"/>
    <w:rsid w:val="0FCB674F"/>
    <w:rsid w:val="1537014B"/>
    <w:rsid w:val="1845186F"/>
    <w:rsid w:val="18A62C65"/>
    <w:rsid w:val="226C3740"/>
    <w:rsid w:val="24D77B7C"/>
    <w:rsid w:val="2A146039"/>
    <w:rsid w:val="2A517958"/>
    <w:rsid w:val="2BFF463C"/>
    <w:rsid w:val="2C69097B"/>
    <w:rsid w:val="2FB35E69"/>
    <w:rsid w:val="361D2A26"/>
    <w:rsid w:val="37181DA2"/>
    <w:rsid w:val="3B5531DE"/>
    <w:rsid w:val="3C8E735F"/>
    <w:rsid w:val="3D174DAA"/>
    <w:rsid w:val="42505962"/>
    <w:rsid w:val="43485BA2"/>
    <w:rsid w:val="44852C73"/>
    <w:rsid w:val="4F48085A"/>
    <w:rsid w:val="4FB10B24"/>
    <w:rsid w:val="56FC15F5"/>
    <w:rsid w:val="571C298C"/>
    <w:rsid w:val="59E24217"/>
    <w:rsid w:val="5E927832"/>
    <w:rsid w:val="61C4488A"/>
    <w:rsid w:val="62D1200D"/>
    <w:rsid w:val="63C9799E"/>
    <w:rsid w:val="65D17068"/>
    <w:rsid w:val="667A1399"/>
    <w:rsid w:val="67FF5BAF"/>
    <w:rsid w:val="68070B84"/>
    <w:rsid w:val="69750926"/>
    <w:rsid w:val="6A097CEE"/>
    <w:rsid w:val="6A675FB4"/>
    <w:rsid w:val="6C1A0BAA"/>
    <w:rsid w:val="6CBB044F"/>
    <w:rsid w:val="72FB174A"/>
    <w:rsid w:val="744A2B26"/>
    <w:rsid w:val="758B56E6"/>
    <w:rsid w:val="768D3BBF"/>
    <w:rsid w:val="77585F7B"/>
    <w:rsid w:val="798A2692"/>
    <w:rsid w:val="7A1B53D2"/>
    <w:rsid w:val="7B496DCD"/>
    <w:rsid w:val="7C122B9D"/>
    <w:rsid w:val="7D710480"/>
    <w:rsid w:val="7E325390"/>
    <w:rsid w:val="7FA1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仿宋" w:hAnsi="仿宋" w:eastAsia="仿宋_GB2312" w:cs="Arial"/>
      <w:b/>
      <w:bCs/>
      <w:kern w:val="2"/>
      <w:sz w:val="28"/>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pPr>
    <w:rPr>
      <w:sz w:val="18"/>
    </w:rPr>
  </w:style>
  <w:style w:type="paragraph" w:styleId="3">
    <w:name w:val="footer"/>
    <w:basedOn w:val="1"/>
    <w:link w:val="8"/>
    <w:qFormat/>
    <w:uiPriority w:val="0"/>
    <w:pPr>
      <w:tabs>
        <w:tab w:val="center" w:pos="4153"/>
        <w:tab w:val="right" w:pos="8306"/>
      </w:tabs>
      <w:snapToGrid w:val="0"/>
      <w:spacing w:line="240" w:lineRule="auto"/>
      <w:jc w:val="left"/>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paragraph" w:styleId="7">
    <w:name w:val="List Paragraph"/>
    <w:basedOn w:val="1"/>
    <w:qFormat/>
    <w:uiPriority w:val="34"/>
  </w:style>
  <w:style w:type="character" w:customStyle="1" w:styleId="8">
    <w:name w:val="页脚 字符"/>
    <w:basedOn w:val="6"/>
    <w:link w:val="3"/>
    <w:qFormat/>
    <w:uiPriority w:val="0"/>
    <w:rPr>
      <w:rFonts w:ascii="仿宋" w:hAnsi="仿宋" w:eastAsia="仿宋_GB2312" w:cs="Arial"/>
      <w:b/>
      <w:bCs/>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1413</Words>
  <Characters>1529</Characters>
  <Lines>11</Lines>
  <Paragraphs>3</Paragraphs>
  <TotalTime>19</TotalTime>
  <ScaleCrop>false</ScaleCrop>
  <LinksUpToDate>false</LinksUpToDate>
  <CharactersWithSpaces>1588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2022-09-21T03:37:00Z</dcterms:created>
  <dc:creator>舟舟</dc:creator>
  <cp:lastModifiedBy>Carpenter</cp:lastModifiedBy>
  <cp:lastPrinted>2023-01-11T03:55:00Z</cp:lastPrinted>
  <dcterms:modified xsi:type="dcterms:W3CDTF">2023-01-14T02:23:23Z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C88AE97D1BF24AB9AC0074035B169CFE</vt:lpwstr>
  </property>
</Properties>
</file>